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47D" w:rsidRPr="00FF147D" w:rsidRDefault="00FF147D" w:rsidP="00FF147D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FF147D">
        <w:rPr>
          <w:rFonts w:ascii="Times New Roman" w:eastAsia="宋体" w:hAnsi="Times New Roman" w:cs="Times New Roman"/>
          <w:b/>
          <w:sz w:val="24"/>
          <w:szCs w:val="24"/>
        </w:rPr>
        <w:t>Table S</w:t>
      </w:r>
      <w:r w:rsidRPr="00FF147D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FF147D">
        <w:rPr>
          <w:rFonts w:ascii="Times New Roman" w:eastAsia="宋体" w:hAnsi="Times New Roman" w:cs="Times New Roman"/>
          <w:b/>
          <w:sz w:val="24"/>
          <w:szCs w:val="24"/>
        </w:rPr>
        <w:t xml:space="preserve"> Associations of health insurance type and reimbursement rate with the risks of breast cancer-specific mortality and overall mortality among patients with invasive breast cancer, with additional adjustment for calendar year and BMI at diagnosis: a prospective breast cancer cohort in China, 2009-201</w:t>
      </w:r>
      <w:r w:rsidRPr="00FF147D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FF147D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tbl>
      <w:tblPr>
        <w:tblW w:w="4893" w:type="pct"/>
        <w:jc w:val="center"/>
        <w:tblLook w:val="04A0" w:firstRow="1" w:lastRow="0" w:firstColumn="1" w:lastColumn="0" w:noHBand="0" w:noVBand="1"/>
      </w:tblPr>
      <w:tblGrid>
        <w:gridCol w:w="4067"/>
        <w:gridCol w:w="1986"/>
        <w:gridCol w:w="1243"/>
        <w:gridCol w:w="236"/>
        <w:gridCol w:w="1814"/>
        <w:gridCol w:w="1376"/>
        <w:gridCol w:w="1842"/>
        <w:gridCol w:w="1307"/>
      </w:tblGrid>
      <w:tr w:rsidR="00FF147D" w:rsidRPr="00FF147D" w:rsidTr="00DB6F05">
        <w:trPr>
          <w:trHeight w:val="298"/>
          <w:jc w:val="center"/>
        </w:trPr>
        <w:tc>
          <w:tcPr>
            <w:tcW w:w="146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Model A</w:t>
            </w: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</w:rPr>
              <w:t>Model B</w:t>
            </w:r>
            <w:r w:rsidRPr="00FF147D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Model C</w:t>
            </w: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perscript"/>
              </w:rPr>
              <w:t>§</w:t>
            </w:r>
          </w:p>
        </w:tc>
      </w:tr>
      <w:tr w:rsidR="00FF147D" w:rsidRPr="00FF147D" w:rsidTr="00DB6F05">
        <w:trPr>
          <w:trHeight w:val="331"/>
          <w:jc w:val="center"/>
        </w:trPr>
        <w:tc>
          <w:tcPr>
            <w:tcW w:w="146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F147D" w:rsidRPr="00FF147D" w:rsidRDefault="00FF147D" w:rsidP="00FF147D">
            <w:pPr>
              <w:widowControl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HR (95% CI)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</w:rPr>
              <w:t>HR (95% CI)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HR (95% CI)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b/>
                <w:i/>
                <w:sz w:val="24"/>
                <w:szCs w:val="24"/>
              </w:rPr>
              <w:t>P</w:t>
            </w: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Breast cancer-specific mortality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  <w:lang w:val="sv-SE"/>
              </w:rPr>
              <w:t>By i</w:t>
            </w:r>
            <w:proofErr w:type="spellStart"/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nsurance</w:t>
            </w:r>
            <w:proofErr w:type="spellEnd"/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type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Urban schemes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1.00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trHeight w:val="194"/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Rural schemes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1.4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(1.1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-1.8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31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 xml:space="preserve"> (1.0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-1.6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8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Calibri" w:eastAsia="宋体" w:hAnsi="Calibri" w:cs="Times New Roman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1.2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(0.9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-1.6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FF147D" w:rsidRPr="00FF147D" w:rsidTr="00DB6F05">
        <w:trPr>
          <w:trHeight w:val="194"/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By reimbursement rate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trHeight w:val="194"/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70%-100%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1.00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trHeight w:val="194"/>
          <w:jc w:val="center"/>
        </w:trPr>
        <w:tc>
          <w:tcPr>
            <w:tcW w:w="1466" w:type="pct"/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0-69%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1.6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-2.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04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1.5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6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 xml:space="preserve"> (1.2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-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1.99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1.4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(1.1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-1.8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Overall mortality</w:t>
            </w:r>
          </w:p>
        </w:tc>
        <w:tc>
          <w:tcPr>
            <w:tcW w:w="716" w:type="pct"/>
            <w:tcBorders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By insurance type</w:t>
            </w:r>
          </w:p>
        </w:tc>
        <w:tc>
          <w:tcPr>
            <w:tcW w:w="716" w:type="pct"/>
            <w:tcBorders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Urban schemes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1.00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Rural schemes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1.4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(1.1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-1.7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0.004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30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 xml:space="preserve"> (1.0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3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-1.6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4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0.028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1.2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1.00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By reimbursement rate</w:t>
            </w:r>
          </w:p>
        </w:tc>
        <w:tc>
          <w:tcPr>
            <w:tcW w:w="716" w:type="pct"/>
            <w:tcBorders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70%-100%</w:t>
            </w:r>
          </w:p>
        </w:tc>
        <w:tc>
          <w:tcPr>
            <w:tcW w:w="716" w:type="pct"/>
            <w:tcBorders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8" w:type="pct"/>
            <w:tcBorders>
              <w:left w:val="single" w:sz="4" w:space="0" w:color="auto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1.00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F147D" w:rsidRPr="00FF147D" w:rsidTr="00DB6F05">
        <w:trPr>
          <w:jc w:val="center"/>
        </w:trPr>
        <w:tc>
          <w:tcPr>
            <w:tcW w:w="146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0-69%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(1.3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-2.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</w:rPr>
              <w:t>1.6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6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 xml:space="preserve"> (1.3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-2.1</w:t>
            </w:r>
            <w:r w:rsidRPr="00FF147D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FF147D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1.5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(1.2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-1.9</w:t>
            </w: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FF147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F147D" w:rsidRPr="00FF147D" w:rsidRDefault="00FF147D" w:rsidP="00FF147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F147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</w:tr>
    </w:tbl>
    <w:p w:rsidR="00FF147D" w:rsidRPr="00FF147D" w:rsidRDefault="00FF147D" w:rsidP="00FF147D">
      <w:pPr>
        <w:rPr>
          <w:rFonts w:ascii="Times New Roman" w:eastAsia="宋体" w:hAnsi="Times New Roman" w:cs="Times New Roman"/>
          <w:sz w:val="24"/>
          <w:szCs w:val="24"/>
        </w:rPr>
      </w:pPr>
      <w:r w:rsidRPr="00FF147D">
        <w:rPr>
          <w:rFonts w:ascii="Times New Roman" w:eastAsia="宋体" w:hAnsi="Times New Roman" w:cs="Times New Roman"/>
          <w:sz w:val="24"/>
          <w:szCs w:val="24"/>
        </w:rPr>
        <w:t xml:space="preserve">NOTE. Patients with missing information on insurance type </w:t>
      </w:r>
      <w:r w:rsidRPr="00FF147D">
        <w:rPr>
          <w:rFonts w:ascii="Times New Roman" w:eastAsia="宋体" w:hAnsi="Times New Roman" w:cs="Times New Roman"/>
          <w:color w:val="000000"/>
          <w:sz w:val="24"/>
          <w:szCs w:val="14"/>
        </w:rPr>
        <w:t>(N=147, 1.98%) or reimbursement rate (N=569, 7.65%) were not included for the corresponding analysis.</w:t>
      </w:r>
    </w:p>
    <w:p w:rsidR="00FF147D" w:rsidRPr="00FF147D" w:rsidRDefault="00FF147D" w:rsidP="00FF147D">
      <w:pPr>
        <w:rPr>
          <w:rFonts w:ascii="Times New Roman" w:eastAsia="宋体" w:hAnsi="Times New Roman" w:cs="Times New Roman"/>
          <w:sz w:val="24"/>
          <w:szCs w:val="24"/>
        </w:rPr>
      </w:pPr>
      <w:r w:rsidRPr="00FF147D">
        <w:rPr>
          <w:rFonts w:ascii="Times New Roman" w:eastAsia="宋体" w:hAnsi="Times New Roman" w:cs="Times New Roman"/>
          <w:sz w:val="24"/>
          <w:szCs w:val="24"/>
        </w:rPr>
        <w:t>Abbreviations: HR,</w:t>
      </w:r>
      <w:r w:rsidRPr="00FF147D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hazard ratio; CI, confidence interval</w:t>
      </w:r>
      <w:r w:rsidRPr="00FF147D">
        <w:rPr>
          <w:rFonts w:ascii="Times New Roman" w:eastAsia="宋体" w:hAnsi="Times New Roman" w:cs="Times New Roman"/>
          <w:sz w:val="24"/>
          <w:szCs w:val="24"/>
        </w:rPr>
        <w:t>.</w:t>
      </w:r>
    </w:p>
    <w:p w:rsidR="00FF147D" w:rsidRPr="00FF147D" w:rsidRDefault="00FF147D" w:rsidP="00FF147D">
      <w:pPr>
        <w:rPr>
          <w:rFonts w:ascii="Times New Roman" w:eastAsia="宋体" w:hAnsi="Times New Roman" w:cs="Times New Roman"/>
          <w:sz w:val="24"/>
          <w:szCs w:val="24"/>
        </w:rPr>
      </w:pPr>
      <w:r w:rsidRPr="00FF147D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† </w:t>
      </w:r>
      <w:r w:rsidRPr="00FF147D">
        <w:rPr>
          <w:rFonts w:ascii="Times New Roman" w:eastAsia="宋体" w:hAnsi="Times New Roman" w:cs="Times New Roman"/>
          <w:sz w:val="24"/>
          <w:szCs w:val="24"/>
        </w:rPr>
        <w:t>HRs were adjusted for age at diagnosis, calendar year at diagnosis</w:t>
      </w:r>
      <w:r w:rsidRPr="00FF147D">
        <w:rPr>
          <w:rFonts w:ascii="Times New Roman" w:eastAsia="宋体" w:hAnsi="Times New Roman" w:cs="Times New Roman" w:hint="eastAsia"/>
          <w:sz w:val="24"/>
          <w:szCs w:val="24"/>
        </w:rPr>
        <w:t xml:space="preserve"> (2009-2012 or 2013-2016)</w:t>
      </w:r>
      <w:r w:rsidRPr="00FF147D">
        <w:rPr>
          <w:rFonts w:ascii="Times New Roman" w:eastAsia="宋体" w:hAnsi="Times New Roman" w:cs="Times New Roman"/>
          <w:sz w:val="24"/>
          <w:szCs w:val="24"/>
        </w:rPr>
        <w:t xml:space="preserve">, BMI, ethnic group (majority or minority/unknown), education (&gt;6 years, or ≤6 years/unknown), and marital status (married or non-married). </w:t>
      </w:r>
    </w:p>
    <w:p w:rsidR="00FF147D" w:rsidRPr="00FF147D" w:rsidRDefault="00FF147D" w:rsidP="00FF147D">
      <w:pPr>
        <w:rPr>
          <w:rFonts w:ascii="Times New Roman" w:eastAsia="宋体" w:hAnsi="Times New Roman" w:cs="Times New Roman"/>
          <w:sz w:val="24"/>
          <w:szCs w:val="24"/>
        </w:rPr>
      </w:pPr>
      <w:r w:rsidRPr="00FF147D">
        <w:rPr>
          <w:rFonts w:ascii="Times New Roman" w:eastAsia="宋体" w:hAnsi="Times New Roman" w:cs="Times New Roman" w:hint="eastAsia"/>
          <w:b/>
          <w:sz w:val="24"/>
          <w:szCs w:val="24"/>
          <w:vertAlign w:val="superscript"/>
        </w:rPr>
        <w:t>‡</w:t>
      </w:r>
      <w:r w:rsidRPr="00FF147D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FF147D">
        <w:rPr>
          <w:rFonts w:ascii="Times New Roman" w:eastAsia="宋体" w:hAnsi="Times New Roman" w:cs="Times New Roman"/>
          <w:sz w:val="24"/>
          <w:szCs w:val="24"/>
        </w:rPr>
        <w:t xml:space="preserve">HRs were additionally adjusted for comorbidity (no or yes), hormone receptor status (negative, positive, or unknown), HER2 status (negative, positive, or unknown), Ki-67 level (&lt;14%, ≥14%, or unknown), histological type (ductal or other types/unknown), tumor stage (I, II, III, IV, or </w:t>
      </w:r>
      <w:r w:rsidRPr="00FF147D">
        <w:rPr>
          <w:rFonts w:ascii="Times New Roman" w:eastAsia="宋体" w:hAnsi="Times New Roman" w:cs="Times New Roman"/>
          <w:sz w:val="24"/>
          <w:szCs w:val="24"/>
        </w:rPr>
        <w:lastRenderedPageBreak/>
        <w:t>unknown).</w:t>
      </w:r>
    </w:p>
    <w:p w:rsidR="00FF147D" w:rsidRPr="00FF147D" w:rsidRDefault="00FF147D" w:rsidP="00FF147D">
      <w:pPr>
        <w:rPr>
          <w:rFonts w:ascii="Times New Roman" w:eastAsia="宋体" w:hAnsi="Times New Roman" w:cs="Times New Roman"/>
          <w:sz w:val="24"/>
          <w:szCs w:val="24"/>
        </w:rPr>
      </w:pPr>
      <w:r w:rsidRPr="00FF147D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§ </w:t>
      </w:r>
      <w:r w:rsidRPr="00FF147D">
        <w:rPr>
          <w:rFonts w:ascii="Times New Roman" w:eastAsia="宋体" w:hAnsi="Times New Roman" w:cs="Times New Roman"/>
          <w:sz w:val="24"/>
          <w:szCs w:val="24"/>
        </w:rPr>
        <w:t xml:space="preserve">HRs </w:t>
      </w:r>
      <w:proofErr w:type="gramStart"/>
      <w:r w:rsidRPr="00FF147D">
        <w:rPr>
          <w:rFonts w:ascii="Times New Roman" w:eastAsia="宋体" w:hAnsi="Times New Roman" w:cs="Times New Roman"/>
          <w:sz w:val="24"/>
          <w:szCs w:val="24"/>
        </w:rPr>
        <w:t>were</w:t>
      </w:r>
      <w:proofErr w:type="gramEnd"/>
      <w:r w:rsidRPr="00FF147D">
        <w:rPr>
          <w:rFonts w:ascii="Times New Roman" w:eastAsia="宋体" w:hAnsi="Times New Roman" w:cs="Times New Roman"/>
          <w:sz w:val="24"/>
          <w:szCs w:val="24"/>
        </w:rPr>
        <w:t xml:space="preserve"> additionally adjusted for surgery (yes or no), chemotherapy (yes or no), radiotherapy (yes or no), hormonal therapy (yes or no) and </w:t>
      </w:r>
      <w:proofErr w:type="spellStart"/>
      <w:r w:rsidRPr="00FF147D">
        <w:rPr>
          <w:rFonts w:ascii="Times New Roman" w:eastAsia="宋体" w:hAnsi="Times New Roman" w:cs="Times New Roman"/>
          <w:sz w:val="24"/>
          <w:szCs w:val="24"/>
        </w:rPr>
        <w:t>trastuzumab</w:t>
      </w:r>
      <w:proofErr w:type="spellEnd"/>
      <w:r w:rsidRPr="00FF147D">
        <w:rPr>
          <w:rFonts w:ascii="Times New Roman" w:eastAsia="宋体" w:hAnsi="Times New Roman" w:cs="Times New Roman"/>
          <w:sz w:val="24"/>
          <w:szCs w:val="24"/>
        </w:rPr>
        <w:t xml:space="preserve"> therapy (yes or no).</w:t>
      </w:r>
    </w:p>
    <w:p w:rsidR="00365864" w:rsidRPr="00FF147D" w:rsidRDefault="002A3E61">
      <w:bookmarkStart w:id="0" w:name="_GoBack"/>
      <w:bookmarkEnd w:id="0"/>
    </w:p>
    <w:sectPr w:rsidR="00365864" w:rsidRPr="00FF147D" w:rsidSect="00FF14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E61" w:rsidRDefault="002A3E61" w:rsidP="00FF147D">
      <w:r>
        <w:separator/>
      </w:r>
    </w:p>
  </w:endnote>
  <w:endnote w:type="continuationSeparator" w:id="0">
    <w:p w:rsidR="002A3E61" w:rsidRDefault="002A3E61" w:rsidP="00FF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E61" w:rsidRDefault="002A3E61" w:rsidP="00FF147D">
      <w:r>
        <w:separator/>
      </w:r>
    </w:p>
  </w:footnote>
  <w:footnote w:type="continuationSeparator" w:id="0">
    <w:p w:rsidR="002A3E61" w:rsidRDefault="002A3E61" w:rsidP="00FF14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600"/>
    <w:rsid w:val="002A3E61"/>
    <w:rsid w:val="007F39DE"/>
    <w:rsid w:val="00870600"/>
    <w:rsid w:val="00EC5082"/>
    <w:rsid w:val="00FF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1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14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1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14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1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14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1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14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2020-02-21T14:16:00Z</dcterms:created>
  <dcterms:modified xsi:type="dcterms:W3CDTF">2020-02-21T14:16:00Z</dcterms:modified>
</cp:coreProperties>
</file>